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1F" w:rsidRDefault="00751A1F" w:rsidP="00BA136C">
      <w:pPr>
        <w:rPr>
          <w:b/>
          <w:bCs/>
        </w:rPr>
      </w:pPr>
      <w:r>
        <w:rPr>
          <w:b/>
          <w:bCs/>
        </w:rPr>
        <w:t>FOR IMMEDIATE RELEASE</w:t>
      </w:r>
    </w:p>
    <w:p w:rsidR="002B0712" w:rsidRDefault="002B0712" w:rsidP="002B0712">
      <w:pPr>
        <w:jc w:val="center"/>
      </w:pPr>
      <w:r>
        <w:rPr>
          <w:i/>
          <w:noProof/>
        </w:rPr>
        <w:drawing>
          <wp:inline distT="0" distB="0" distL="0" distR="0" wp14:anchorId="2B664067" wp14:editId="0CC17781">
            <wp:extent cx="1565432" cy="811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485" cy="812226"/>
                    </a:xfrm>
                    <a:prstGeom prst="rect">
                      <a:avLst/>
                    </a:prstGeom>
                    <a:noFill/>
                    <a:ln>
                      <a:noFill/>
                    </a:ln>
                  </pic:spPr>
                </pic:pic>
              </a:graphicData>
            </a:graphic>
          </wp:inline>
        </w:drawing>
      </w:r>
    </w:p>
    <w:p w:rsidR="002B0712" w:rsidRDefault="002B0712" w:rsidP="002B0712">
      <w:pPr>
        <w:jc w:val="center"/>
        <w:rPr>
          <w:rFonts w:asciiTheme="majorHAnsi" w:hAnsiTheme="majorHAnsi"/>
        </w:rPr>
      </w:pPr>
      <w:r w:rsidRPr="008328AF">
        <w:rPr>
          <w:rFonts w:asciiTheme="majorHAnsi" w:hAnsiTheme="majorHAnsi"/>
        </w:rPr>
        <w:t>Intelligent Community Forum</w:t>
      </w:r>
    </w:p>
    <w:p w:rsidR="002B0712" w:rsidRDefault="002B0712" w:rsidP="002B0712">
      <w:pPr>
        <w:rPr>
          <w:b/>
          <w:bCs/>
        </w:rPr>
      </w:pPr>
    </w:p>
    <w:p w:rsidR="00751A1F" w:rsidRDefault="00751A1F" w:rsidP="00751A1F">
      <w:pPr>
        <w:jc w:val="center"/>
        <w:rPr>
          <w:b/>
          <w:bCs/>
        </w:rPr>
      </w:pPr>
    </w:p>
    <w:p w:rsidR="00BE7AAA" w:rsidRPr="00BE7AAA" w:rsidRDefault="00751A1F" w:rsidP="00751A1F">
      <w:pPr>
        <w:jc w:val="center"/>
        <w:rPr>
          <w:b/>
          <w:bCs/>
          <w:sz w:val="32"/>
          <w:szCs w:val="32"/>
        </w:rPr>
      </w:pPr>
      <w:r w:rsidRPr="00BE7AAA">
        <w:rPr>
          <w:b/>
          <w:bCs/>
          <w:sz w:val="32"/>
          <w:szCs w:val="32"/>
        </w:rPr>
        <w:t xml:space="preserve">The Intelligent Community Forum Announces </w:t>
      </w:r>
    </w:p>
    <w:p w:rsidR="00751A1F" w:rsidRPr="00BE7AAA" w:rsidRDefault="0058315F" w:rsidP="00751A1F">
      <w:pPr>
        <w:jc w:val="center"/>
        <w:rPr>
          <w:b/>
          <w:bCs/>
          <w:sz w:val="32"/>
          <w:szCs w:val="32"/>
        </w:rPr>
      </w:pPr>
      <w:r>
        <w:rPr>
          <w:b/>
          <w:bCs/>
          <w:sz w:val="32"/>
          <w:szCs w:val="32"/>
        </w:rPr>
        <w:t>World’s</w:t>
      </w:r>
      <w:r w:rsidRPr="00BE7AAA">
        <w:rPr>
          <w:b/>
          <w:bCs/>
          <w:sz w:val="32"/>
          <w:szCs w:val="32"/>
        </w:rPr>
        <w:t xml:space="preserve"> </w:t>
      </w:r>
      <w:r w:rsidR="00751A1F" w:rsidRPr="00BE7AAA">
        <w:rPr>
          <w:b/>
          <w:bCs/>
          <w:sz w:val="32"/>
          <w:szCs w:val="32"/>
        </w:rPr>
        <w:t>Smart21 Communities of 2015</w:t>
      </w:r>
    </w:p>
    <w:p w:rsidR="00751A1F" w:rsidRDefault="00751A1F" w:rsidP="003E19C4">
      <w:pPr>
        <w:rPr>
          <w:b/>
          <w:bCs/>
        </w:rPr>
      </w:pPr>
    </w:p>
    <w:p w:rsidR="003E19C4" w:rsidRDefault="003E19C4" w:rsidP="003E19C4">
      <w:r w:rsidRPr="003E19C4">
        <w:rPr>
          <w:b/>
          <w:bCs/>
        </w:rPr>
        <w:t>N</w:t>
      </w:r>
      <w:r w:rsidR="00751A1F">
        <w:rPr>
          <w:b/>
          <w:bCs/>
        </w:rPr>
        <w:t xml:space="preserve">ew York - </w:t>
      </w:r>
      <w:r w:rsidR="004016D7">
        <w:rPr>
          <w:b/>
          <w:bCs/>
        </w:rPr>
        <w:t>21 October 2014</w:t>
      </w:r>
      <w:r w:rsidRPr="003E19C4">
        <w:rPr>
          <w:b/>
          <w:bCs/>
        </w:rPr>
        <w:t xml:space="preserve"> –</w:t>
      </w:r>
      <w:r w:rsidRPr="003E19C4">
        <w:t xml:space="preserve"> The Intelligent Community Forum today named </w:t>
      </w:r>
      <w:r w:rsidR="00A84C70">
        <w:t>C</w:t>
      </w:r>
      <w:r w:rsidR="0059794A">
        <w:t xml:space="preserve">olumbus </w:t>
      </w:r>
      <w:r w:rsidR="005865CA">
        <w:t xml:space="preserve">as one of </w:t>
      </w:r>
      <w:r w:rsidRPr="003E19C4">
        <w:t>the wor</w:t>
      </w:r>
      <w:r w:rsidR="004016D7">
        <w:t>ld’s Smart21 Communities of 2015</w:t>
      </w:r>
      <w:r w:rsidRPr="003E19C4">
        <w:t xml:space="preserve">. This select group of communities </w:t>
      </w:r>
      <w:r w:rsidR="0058315F">
        <w:t>will now be</w:t>
      </w:r>
      <w:r w:rsidRPr="003E19C4">
        <w:t xml:space="preserve"> in contention for the prestigious designation of Intelligent Community of </w:t>
      </w:r>
      <w:r w:rsidR="004016D7">
        <w:t>the Year in June 2015</w:t>
      </w:r>
      <w:r w:rsidRPr="003E19C4">
        <w:t>.</w:t>
      </w:r>
    </w:p>
    <w:p w:rsidR="003E19C4" w:rsidRPr="003E19C4" w:rsidRDefault="003E19C4" w:rsidP="003E19C4"/>
    <w:p w:rsidR="003E19C4" w:rsidRDefault="00751A1F" w:rsidP="003E19C4">
      <w:r w:rsidRPr="00751A1F">
        <w:t>“We have started the search for Toronto’s successor.  More important, our analysts have selected 21 communities that have shown progress in their attempt to make the leap to Inte</w:t>
      </w:r>
      <w:r>
        <w:t xml:space="preserve">lligent Community status.  The </w:t>
      </w:r>
      <w:r w:rsidRPr="00751A1F">
        <w:rPr>
          <w:i/>
        </w:rPr>
        <w:t>Revolutionary Community</w:t>
      </w:r>
      <w:r w:rsidRPr="00751A1F">
        <w:t xml:space="preserve"> theme for 2015 is perf</w:t>
      </w:r>
      <w:r>
        <w:t xml:space="preserve">ect for this group.  </w:t>
      </w:r>
      <w:r w:rsidR="0058315F">
        <w:t xml:space="preserve">Not all of them are </w:t>
      </w:r>
      <w:r w:rsidR="00E11F36">
        <w:t>cities, towns or regions that</w:t>
      </w:r>
      <w:r w:rsidR="0058315F">
        <w:t xml:space="preserve"> people immediately think of as ‘tech cities.’  </w:t>
      </w:r>
      <w:r w:rsidR="00E11F36">
        <w:t xml:space="preserve">Tech is not all there is to a great community.  </w:t>
      </w:r>
      <w:r w:rsidR="003A2104">
        <w:t xml:space="preserve">Some are aspirational but all </w:t>
      </w:r>
      <w:r w:rsidR="003A2104" w:rsidRPr="00751A1F">
        <w:t>have launched programs that are innovative, and will do something that most cities, towns and regions have been attempting since the broadband economy emerged: launch a successful and full-scale full revolt against brain drain</w:t>
      </w:r>
      <w:r w:rsidR="003A2104">
        <w:t xml:space="preserve"> and the creation of industries that will produce jobs</w:t>
      </w:r>
      <w:r w:rsidR="003A2104" w:rsidRPr="00751A1F">
        <w:t>.”</w:t>
      </w:r>
    </w:p>
    <w:p w:rsidR="00751A1F" w:rsidRPr="00C5509D" w:rsidRDefault="00751A1F" w:rsidP="003E19C4"/>
    <w:p w:rsidR="00E11F36" w:rsidRPr="00606738" w:rsidRDefault="00E11F36" w:rsidP="00E11F36">
      <w:pPr>
        <w:rPr>
          <w:rFonts w:cs="Arial"/>
        </w:rPr>
      </w:pPr>
      <w:r w:rsidRPr="00606738">
        <w:rPr>
          <w:rFonts w:cs="Arial"/>
        </w:rPr>
        <w:t xml:space="preserve">ICF noted that last month the World Bank, the Organization for Economic Cooperation and Development and the International Labour Organization detailed a growing job crisis. A report to G20 Employment Ministers stated that there is a sizeable job gap coupled with deterioration in the quality of jobs. 600 million jobs will be required in the next 15 years just to cope with an expanding population.100 million people are already unemployed. </w:t>
      </w:r>
    </w:p>
    <w:p w:rsidR="00E11F36" w:rsidRPr="00C5509D" w:rsidRDefault="00E11F36" w:rsidP="003E19C4"/>
    <w:p w:rsidR="003E19C4" w:rsidRDefault="00751A1F" w:rsidP="003E19C4">
      <w:r>
        <w:t xml:space="preserve">The </w:t>
      </w:r>
      <w:r w:rsidR="003E19C4" w:rsidRPr="003E19C4">
        <w:t>Smart21</w:t>
      </w:r>
      <w:r w:rsidR="003E19C4">
        <w:t xml:space="preserve"> Communities of 2015</w:t>
      </w:r>
      <w:r>
        <w:t xml:space="preserve"> is comprised of five communities from the United States, four communities from Australia, four communities from Taiwan, three communities from Canada, and one community each from Brazil, Japan, Kaz</w:t>
      </w:r>
      <w:r w:rsidR="00DD7869">
        <w:t xml:space="preserve">akhstan, Kenya and New Zealand. </w:t>
      </w:r>
      <w:r w:rsidR="0058315F">
        <w:t xml:space="preserve"> Perhaps surprisingly, no European </w:t>
      </w:r>
      <w:r w:rsidR="00E11F36">
        <w:t>or Chinese community appears on</w:t>
      </w:r>
      <w:r w:rsidR="0058315F">
        <w:t xml:space="preserve"> this year’s list.</w:t>
      </w:r>
      <w:r w:rsidR="00E11F36">
        <w:t xml:space="preserve">  Thirteen communities reappeared on the list, with the ICF’s first Kazakhstani city making the Smart21.</w:t>
      </w:r>
    </w:p>
    <w:p w:rsidR="00DD7869" w:rsidRPr="003E19C4" w:rsidRDefault="00DD7869" w:rsidP="003E19C4"/>
    <w:p w:rsidR="003E19C4" w:rsidRDefault="003E19C4" w:rsidP="003E19C4">
      <w:r w:rsidRPr="003E19C4">
        <w:t xml:space="preserve">NOTE – </w:t>
      </w:r>
      <w:r w:rsidR="00D43B90">
        <w:t>T</w:t>
      </w:r>
      <w:r w:rsidRPr="003E19C4">
        <w:t>he Intelligent Community Forum produced a video about the Smart21 for 201</w:t>
      </w:r>
      <w:r w:rsidR="00D43B90">
        <w:t>5</w:t>
      </w:r>
      <w:r w:rsidRPr="003E19C4">
        <w:t>. It can be viewed </w:t>
      </w:r>
      <w:r>
        <w:t xml:space="preserve">here </w:t>
      </w:r>
      <w:proofErr w:type="gramStart"/>
      <w:r>
        <w:t xml:space="preserve">– </w:t>
      </w:r>
      <w:r w:rsidR="009B4D69">
        <w:t xml:space="preserve"> </w:t>
      </w:r>
      <w:proofErr w:type="gramEnd"/>
      <w:r w:rsidR="009B4D69" w:rsidRPr="009B4D69">
        <w:rPr>
          <w:rFonts w:cs="Arial"/>
        </w:rPr>
        <w:fldChar w:fldCharType="begin"/>
      </w:r>
      <w:r w:rsidR="009B4D69" w:rsidRPr="009B4D69">
        <w:rPr>
          <w:rFonts w:cs="Arial"/>
        </w:rPr>
        <w:instrText>HYPERLINK "https://www.youtube.com/watch?v=iZo6o5TOch8"</w:instrText>
      </w:r>
      <w:r w:rsidR="009B4D69" w:rsidRPr="009B4D69">
        <w:rPr>
          <w:rFonts w:cs="Arial"/>
        </w:rPr>
        <w:fldChar w:fldCharType="separate"/>
      </w:r>
      <w:r w:rsidR="009B4D69" w:rsidRPr="009B4D69">
        <w:rPr>
          <w:rFonts w:cs="Arial"/>
          <w:color w:val="0D37A4"/>
          <w:u w:val="single" w:color="0D37A4"/>
        </w:rPr>
        <w:t>https://www.youtube.com/watch?v=iZo6o5TOch8</w:t>
      </w:r>
      <w:r w:rsidR="009B4D69" w:rsidRPr="009B4D69">
        <w:rPr>
          <w:rFonts w:cs="Arial"/>
        </w:rPr>
        <w:fldChar w:fldCharType="end"/>
      </w:r>
      <w:r w:rsidR="009B4D69" w:rsidRPr="00FB5918" w:rsidDel="009B4D69">
        <w:t xml:space="preserve"> </w:t>
      </w:r>
    </w:p>
    <w:p w:rsidR="00751A1F" w:rsidRPr="003E19C4" w:rsidRDefault="00751A1F" w:rsidP="003E19C4"/>
    <w:p w:rsidR="003E19C4" w:rsidRPr="00D43B90" w:rsidRDefault="003E19C4" w:rsidP="003E19C4">
      <w:pPr>
        <w:rPr>
          <w:sz w:val="28"/>
          <w:szCs w:val="28"/>
        </w:rPr>
      </w:pPr>
      <w:r w:rsidRPr="00D43B90">
        <w:rPr>
          <w:b/>
          <w:bCs/>
          <w:sz w:val="28"/>
          <w:szCs w:val="28"/>
        </w:rPr>
        <w:lastRenderedPageBreak/>
        <w:t>Intelligent Community Forum Smart21 Communities for 201</w:t>
      </w:r>
      <w:r w:rsidR="00751A1F" w:rsidRPr="00D43B90">
        <w:rPr>
          <w:b/>
          <w:bCs/>
          <w:sz w:val="28"/>
          <w:szCs w:val="28"/>
        </w:rPr>
        <w:t>5</w:t>
      </w: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5"/>
        <w:gridCol w:w="2241"/>
        <w:gridCol w:w="1674"/>
      </w:tblGrid>
      <w:tr w:rsidR="003E19C4" w:rsidRPr="003E19C4" w:rsidTr="00751A1F">
        <w:trPr>
          <w:tblCellSpacing w:w="15" w:type="dxa"/>
        </w:trPr>
        <w:tc>
          <w:tcPr>
            <w:tcW w:w="5040" w:type="dxa"/>
            <w:shd w:val="clear" w:color="auto" w:fill="FFFFFF"/>
            <w:vAlign w:val="center"/>
            <w:hideMark/>
          </w:tcPr>
          <w:p w:rsidR="003E19C4" w:rsidRPr="002B0712" w:rsidRDefault="003E19C4" w:rsidP="003E19C4">
            <w:pPr>
              <w:rPr>
                <w:b/>
                <w:sz w:val="28"/>
                <w:szCs w:val="28"/>
              </w:rPr>
            </w:pPr>
            <w:r w:rsidRPr="002B0712">
              <w:rPr>
                <w:b/>
                <w:sz w:val="28"/>
                <w:szCs w:val="28"/>
              </w:rPr>
              <w:t>Community</w:t>
            </w:r>
          </w:p>
        </w:tc>
        <w:tc>
          <w:tcPr>
            <w:tcW w:w="2211" w:type="dxa"/>
            <w:shd w:val="clear" w:color="auto" w:fill="FFFFFF"/>
            <w:vAlign w:val="center"/>
            <w:hideMark/>
          </w:tcPr>
          <w:p w:rsidR="003E19C4" w:rsidRPr="002B0712" w:rsidRDefault="003E19C4" w:rsidP="003E19C4">
            <w:pPr>
              <w:rPr>
                <w:b/>
                <w:sz w:val="28"/>
                <w:szCs w:val="28"/>
              </w:rPr>
            </w:pPr>
            <w:r w:rsidRPr="002B0712">
              <w:rPr>
                <w:b/>
                <w:sz w:val="28"/>
                <w:szCs w:val="28"/>
              </w:rPr>
              <w:t>Country</w:t>
            </w:r>
          </w:p>
        </w:tc>
        <w:tc>
          <w:tcPr>
            <w:tcW w:w="0" w:type="auto"/>
            <w:shd w:val="clear" w:color="auto" w:fill="FFFFFF"/>
            <w:vAlign w:val="center"/>
            <w:hideMark/>
          </w:tcPr>
          <w:p w:rsidR="003E19C4" w:rsidRPr="002B0712" w:rsidRDefault="003E19C4" w:rsidP="003E19C4">
            <w:pPr>
              <w:rPr>
                <w:b/>
                <w:sz w:val="28"/>
                <w:szCs w:val="28"/>
              </w:rPr>
            </w:pPr>
            <w:r w:rsidRPr="002B0712">
              <w:rPr>
                <w:b/>
                <w:sz w:val="28"/>
                <w:szCs w:val="28"/>
              </w:rPr>
              <w:t>Population</w:t>
            </w:r>
          </w:p>
        </w:tc>
      </w:tr>
      <w:tr w:rsidR="003E19C4" w:rsidRPr="003E19C4" w:rsidTr="00751A1F">
        <w:trPr>
          <w:tblCellSpacing w:w="15" w:type="dxa"/>
        </w:trPr>
        <w:tc>
          <w:tcPr>
            <w:tcW w:w="5040" w:type="dxa"/>
            <w:shd w:val="clear" w:color="auto" w:fill="FFFFFF"/>
            <w:vAlign w:val="center"/>
            <w:hideMark/>
          </w:tcPr>
          <w:p w:rsidR="003E19C4" w:rsidRPr="003E19C4" w:rsidRDefault="003E19C4" w:rsidP="003E19C4">
            <w:r w:rsidRPr="003E19C4">
              <w:t>Arlington County, Virginia</w:t>
            </w:r>
          </w:p>
        </w:tc>
        <w:tc>
          <w:tcPr>
            <w:tcW w:w="2211" w:type="dxa"/>
            <w:shd w:val="clear" w:color="auto" w:fill="FFFFFF"/>
            <w:vAlign w:val="center"/>
            <w:hideMark/>
          </w:tcPr>
          <w:p w:rsidR="003E19C4" w:rsidRPr="003E19C4" w:rsidRDefault="003E19C4" w:rsidP="003E19C4">
            <w:r w:rsidRPr="003E19C4">
              <w:t>USA</w:t>
            </w:r>
          </w:p>
        </w:tc>
        <w:tc>
          <w:tcPr>
            <w:tcW w:w="0" w:type="auto"/>
            <w:shd w:val="clear" w:color="auto" w:fill="FFFFFF"/>
            <w:vAlign w:val="center"/>
            <w:hideMark/>
          </w:tcPr>
          <w:p w:rsidR="003E19C4" w:rsidRPr="003E19C4" w:rsidRDefault="00DD7869" w:rsidP="003E19C4">
            <w:r>
              <w:t>210,280</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Astana</w:t>
            </w:r>
          </w:p>
        </w:tc>
        <w:tc>
          <w:tcPr>
            <w:tcW w:w="2211" w:type="dxa"/>
            <w:shd w:val="clear" w:color="auto" w:fill="FFFFFF"/>
            <w:vAlign w:val="center"/>
            <w:hideMark/>
          </w:tcPr>
          <w:p w:rsidR="003E19C4" w:rsidRPr="003E19C4" w:rsidRDefault="00751A1F" w:rsidP="003E19C4">
            <w:r>
              <w:t>Kazakhstan</w:t>
            </w:r>
          </w:p>
        </w:tc>
        <w:tc>
          <w:tcPr>
            <w:tcW w:w="0" w:type="auto"/>
            <w:shd w:val="clear" w:color="auto" w:fill="FFFFFF"/>
            <w:vAlign w:val="center"/>
            <w:hideMark/>
          </w:tcPr>
          <w:p w:rsidR="003E19C4" w:rsidRPr="003E19C4" w:rsidRDefault="00DD7869" w:rsidP="003E19C4">
            <w:r>
              <w:t>832,0</w:t>
            </w:r>
            <w:r w:rsidR="003E19C4" w:rsidRPr="003E19C4">
              <w:t>00</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Aurora, Illinois</w:t>
            </w:r>
          </w:p>
        </w:tc>
        <w:tc>
          <w:tcPr>
            <w:tcW w:w="2211" w:type="dxa"/>
            <w:shd w:val="clear" w:color="auto" w:fill="FFFFFF"/>
            <w:vAlign w:val="center"/>
            <w:hideMark/>
          </w:tcPr>
          <w:p w:rsidR="003E19C4" w:rsidRPr="003E19C4" w:rsidRDefault="003E19C4" w:rsidP="003E19C4">
            <w:r w:rsidRPr="003E19C4">
              <w:t>USA</w:t>
            </w:r>
          </w:p>
        </w:tc>
        <w:tc>
          <w:tcPr>
            <w:tcW w:w="0" w:type="auto"/>
            <w:shd w:val="clear" w:color="auto" w:fill="FFFFFF"/>
            <w:vAlign w:val="center"/>
            <w:hideMark/>
          </w:tcPr>
          <w:p w:rsidR="003E19C4" w:rsidRPr="003E19C4" w:rsidRDefault="009F47EB" w:rsidP="003E19C4">
            <w:r>
              <w:t>203,008</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Changhua County</w:t>
            </w:r>
          </w:p>
        </w:tc>
        <w:tc>
          <w:tcPr>
            <w:tcW w:w="2211" w:type="dxa"/>
            <w:shd w:val="clear" w:color="auto" w:fill="FFFFFF"/>
            <w:vAlign w:val="center"/>
            <w:hideMark/>
          </w:tcPr>
          <w:p w:rsidR="003E19C4" w:rsidRPr="003E19C4" w:rsidRDefault="00751A1F" w:rsidP="003E19C4">
            <w:r>
              <w:t>Taiwan</w:t>
            </w:r>
          </w:p>
        </w:tc>
        <w:tc>
          <w:tcPr>
            <w:tcW w:w="0" w:type="auto"/>
            <w:shd w:val="clear" w:color="auto" w:fill="FFFFFF"/>
            <w:vAlign w:val="center"/>
            <w:hideMark/>
          </w:tcPr>
          <w:p w:rsidR="003E19C4" w:rsidRPr="003E19C4" w:rsidRDefault="009F47EB" w:rsidP="003E19C4">
            <w:r>
              <w:t>1,300</w:t>
            </w:r>
            <w:r w:rsidR="003E19C4" w:rsidRPr="003E19C4">
              <w:t>,000</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Columbus, Ohio</w:t>
            </w:r>
          </w:p>
        </w:tc>
        <w:tc>
          <w:tcPr>
            <w:tcW w:w="2211" w:type="dxa"/>
            <w:shd w:val="clear" w:color="auto" w:fill="FFFFFF"/>
            <w:vAlign w:val="center"/>
            <w:hideMark/>
          </w:tcPr>
          <w:p w:rsidR="003E19C4" w:rsidRPr="003E19C4" w:rsidRDefault="00751A1F" w:rsidP="003E19C4">
            <w:r>
              <w:t>USA</w:t>
            </w:r>
          </w:p>
        </w:tc>
        <w:tc>
          <w:tcPr>
            <w:tcW w:w="0" w:type="auto"/>
            <w:shd w:val="clear" w:color="auto" w:fill="FFFFFF"/>
            <w:vAlign w:val="center"/>
            <w:hideMark/>
          </w:tcPr>
          <w:p w:rsidR="003E19C4" w:rsidRPr="003E19C4" w:rsidRDefault="009F47EB" w:rsidP="003E19C4">
            <w:r>
              <w:t>822,553</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Dubuque, Iowa</w:t>
            </w:r>
          </w:p>
        </w:tc>
        <w:tc>
          <w:tcPr>
            <w:tcW w:w="2211" w:type="dxa"/>
            <w:shd w:val="clear" w:color="auto" w:fill="FFFFFF"/>
            <w:vAlign w:val="center"/>
            <w:hideMark/>
          </w:tcPr>
          <w:p w:rsidR="003E19C4" w:rsidRPr="003E19C4" w:rsidRDefault="00751A1F" w:rsidP="003E19C4">
            <w:r>
              <w:t>USA</w:t>
            </w:r>
          </w:p>
        </w:tc>
        <w:tc>
          <w:tcPr>
            <w:tcW w:w="0" w:type="auto"/>
            <w:shd w:val="clear" w:color="auto" w:fill="FFFFFF"/>
            <w:vAlign w:val="center"/>
            <w:hideMark/>
          </w:tcPr>
          <w:p w:rsidR="003E19C4" w:rsidRPr="003E19C4" w:rsidRDefault="009F47EB" w:rsidP="009F47EB">
            <w:r>
              <w:t>58,253</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Edmonton, Alberta</w:t>
            </w:r>
          </w:p>
        </w:tc>
        <w:tc>
          <w:tcPr>
            <w:tcW w:w="2211" w:type="dxa"/>
            <w:shd w:val="clear" w:color="auto" w:fill="FFFFFF"/>
            <w:vAlign w:val="center"/>
            <w:hideMark/>
          </w:tcPr>
          <w:p w:rsidR="003E19C4" w:rsidRPr="003E19C4" w:rsidRDefault="00751A1F" w:rsidP="003E19C4">
            <w:r>
              <w:t>Canada</w:t>
            </w:r>
          </w:p>
        </w:tc>
        <w:tc>
          <w:tcPr>
            <w:tcW w:w="0" w:type="auto"/>
            <w:shd w:val="clear" w:color="auto" w:fill="FFFFFF"/>
            <w:vAlign w:val="center"/>
            <w:hideMark/>
          </w:tcPr>
          <w:p w:rsidR="003E19C4" w:rsidRPr="003E19C4" w:rsidRDefault="009F47EB" w:rsidP="003E19C4">
            <w:r>
              <w:t>877,926</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Ipswich, Queensland</w:t>
            </w:r>
          </w:p>
        </w:tc>
        <w:tc>
          <w:tcPr>
            <w:tcW w:w="2211" w:type="dxa"/>
            <w:shd w:val="clear" w:color="auto" w:fill="FFFFFF"/>
            <w:vAlign w:val="center"/>
            <w:hideMark/>
          </w:tcPr>
          <w:p w:rsidR="003E19C4" w:rsidRPr="003E19C4" w:rsidRDefault="00751A1F" w:rsidP="003E19C4">
            <w:r>
              <w:t>Australia</w:t>
            </w:r>
          </w:p>
        </w:tc>
        <w:tc>
          <w:tcPr>
            <w:tcW w:w="0" w:type="auto"/>
            <w:shd w:val="clear" w:color="auto" w:fill="FFFFFF"/>
            <w:vAlign w:val="center"/>
            <w:hideMark/>
          </w:tcPr>
          <w:p w:rsidR="003E19C4" w:rsidRPr="003E19C4" w:rsidRDefault="006738E7" w:rsidP="003E19C4">
            <w:r>
              <w:t>185,000</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Mitchell, South Dakota</w:t>
            </w:r>
          </w:p>
        </w:tc>
        <w:tc>
          <w:tcPr>
            <w:tcW w:w="2211" w:type="dxa"/>
            <w:shd w:val="clear" w:color="auto" w:fill="FFFFFF"/>
            <w:vAlign w:val="center"/>
            <w:hideMark/>
          </w:tcPr>
          <w:p w:rsidR="003E19C4" w:rsidRPr="003E19C4" w:rsidRDefault="00751A1F" w:rsidP="003E19C4">
            <w:r>
              <w:t>USA</w:t>
            </w:r>
          </w:p>
        </w:tc>
        <w:tc>
          <w:tcPr>
            <w:tcW w:w="0" w:type="auto"/>
            <w:shd w:val="clear" w:color="auto" w:fill="FFFFFF"/>
            <w:vAlign w:val="center"/>
            <w:hideMark/>
          </w:tcPr>
          <w:p w:rsidR="003E19C4" w:rsidRPr="003E19C4" w:rsidRDefault="006738E7" w:rsidP="003E19C4">
            <w:r>
              <w:t>15,254</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Nairobi County</w:t>
            </w:r>
          </w:p>
        </w:tc>
        <w:tc>
          <w:tcPr>
            <w:tcW w:w="2211" w:type="dxa"/>
            <w:shd w:val="clear" w:color="auto" w:fill="FFFFFF"/>
            <w:vAlign w:val="center"/>
            <w:hideMark/>
          </w:tcPr>
          <w:p w:rsidR="003E19C4" w:rsidRPr="003E19C4" w:rsidRDefault="00751A1F" w:rsidP="003E19C4">
            <w:r>
              <w:t>Kenya</w:t>
            </w:r>
          </w:p>
        </w:tc>
        <w:tc>
          <w:tcPr>
            <w:tcW w:w="0" w:type="auto"/>
            <w:shd w:val="clear" w:color="auto" w:fill="FFFFFF"/>
            <w:vAlign w:val="center"/>
            <w:hideMark/>
          </w:tcPr>
          <w:p w:rsidR="003E19C4" w:rsidRPr="003E19C4" w:rsidRDefault="003E19C4" w:rsidP="006738E7">
            <w:r w:rsidRPr="003E19C4">
              <w:t>3,</w:t>
            </w:r>
            <w:r w:rsidR="006738E7">
              <w:t>380,000</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New Taipei City</w:t>
            </w:r>
          </w:p>
        </w:tc>
        <w:tc>
          <w:tcPr>
            <w:tcW w:w="2211" w:type="dxa"/>
            <w:shd w:val="clear" w:color="auto" w:fill="FFFFFF"/>
            <w:vAlign w:val="center"/>
            <w:hideMark/>
          </w:tcPr>
          <w:p w:rsidR="003E19C4" w:rsidRPr="003E19C4" w:rsidRDefault="00751A1F" w:rsidP="003E19C4">
            <w:r>
              <w:t>Taiwan</w:t>
            </w:r>
          </w:p>
        </w:tc>
        <w:tc>
          <w:tcPr>
            <w:tcW w:w="0" w:type="auto"/>
            <w:shd w:val="clear" w:color="auto" w:fill="FFFFFF"/>
            <w:vAlign w:val="center"/>
            <w:hideMark/>
          </w:tcPr>
          <w:p w:rsidR="003E19C4" w:rsidRPr="003E19C4" w:rsidRDefault="006738E7" w:rsidP="003E19C4">
            <w:r>
              <w:t>3,959,855</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Prospect, South Australia</w:t>
            </w:r>
            <w:bookmarkStart w:id="0" w:name="_GoBack"/>
            <w:bookmarkEnd w:id="0"/>
          </w:p>
        </w:tc>
        <w:tc>
          <w:tcPr>
            <w:tcW w:w="2211" w:type="dxa"/>
            <w:shd w:val="clear" w:color="auto" w:fill="FFFFFF"/>
            <w:vAlign w:val="center"/>
            <w:hideMark/>
          </w:tcPr>
          <w:p w:rsidR="003E19C4" w:rsidRPr="003E19C4" w:rsidRDefault="003E19C4" w:rsidP="003E19C4">
            <w:r w:rsidRPr="003E19C4">
              <w:t>Australia</w:t>
            </w:r>
          </w:p>
        </w:tc>
        <w:tc>
          <w:tcPr>
            <w:tcW w:w="0" w:type="auto"/>
            <w:shd w:val="clear" w:color="auto" w:fill="FFFFFF"/>
            <w:vAlign w:val="center"/>
            <w:hideMark/>
          </w:tcPr>
          <w:p w:rsidR="003E19C4" w:rsidRPr="003E19C4" w:rsidRDefault="003E19C4" w:rsidP="006738E7">
            <w:r w:rsidRPr="003E19C4">
              <w:t>2</w:t>
            </w:r>
            <w:r w:rsidR="006738E7">
              <w:t>96,862</w:t>
            </w:r>
          </w:p>
        </w:tc>
      </w:tr>
      <w:tr w:rsidR="003E19C4" w:rsidRPr="003E19C4" w:rsidTr="00751A1F">
        <w:trPr>
          <w:tblCellSpacing w:w="15" w:type="dxa"/>
        </w:trPr>
        <w:tc>
          <w:tcPr>
            <w:tcW w:w="5040" w:type="dxa"/>
            <w:shd w:val="clear" w:color="auto" w:fill="FFFFFF"/>
            <w:vAlign w:val="center"/>
            <w:hideMark/>
          </w:tcPr>
          <w:p w:rsidR="003E19C4" w:rsidRPr="003E19C4" w:rsidRDefault="00751A1F" w:rsidP="003E19C4">
            <w:r>
              <w:t>Rio de Janeiro</w:t>
            </w:r>
          </w:p>
        </w:tc>
        <w:tc>
          <w:tcPr>
            <w:tcW w:w="2211" w:type="dxa"/>
            <w:shd w:val="clear" w:color="auto" w:fill="FFFFFF"/>
            <w:vAlign w:val="center"/>
            <w:hideMark/>
          </w:tcPr>
          <w:p w:rsidR="003E19C4" w:rsidRPr="003E19C4" w:rsidRDefault="00751A1F" w:rsidP="003E19C4">
            <w:r>
              <w:t>Brazil</w:t>
            </w:r>
          </w:p>
        </w:tc>
        <w:tc>
          <w:tcPr>
            <w:tcW w:w="0" w:type="auto"/>
            <w:shd w:val="clear" w:color="auto" w:fill="FFFFFF"/>
            <w:vAlign w:val="center"/>
            <w:hideMark/>
          </w:tcPr>
          <w:p w:rsidR="003E19C4" w:rsidRPr="003E19C4" w:rsidRDefault="006738E7" w:rsidP="003E19C4">
            <w:r>
              <w:t>6,453,682</w:t>
            </w:r>
          </w:p>
        </w:tc>
      </w:tr>
      <w:tr w:rsidR="003E19C4" w:rsidRPr="003E19C4" w:rsidTr="00751A1F">
        <w:trPr>
          <w:tblCellSpacing w:w="15" w:type="dxa"/>
        </w:trPr>
        <w:tc>
          <w:tcPr>
            <w:tcW w:w="5040" w:type="dxa"/>
            <w:shd w:val="clear" w:color="auto" w:fill="FFFFFF"/>
            <w:vAlign w:val="center"/>
            <w:hideMark/>
          </w:tcPr>
          <w:p w:rsidR="003E19C4" w:rsidRPr="003E19C4" w:rsidRDefault="00DD7869" w:rsidP="003E19C4">
            <w:r>
              <w:t>Sherbrooke, Quebec</w:t>
            </w:r>
          </w:p>
        </w:tc>
        <w:tc>
          <w:tcPr>
            <w:tcW w:w="2211" w:type="dxa"/>
            <w:shd w:val="clear" w:color="auto" w:fill="FFFFFF"/>
            <w:vAlign w:val="center"/>
            <w:hideMark/>
          </w:tcPr>
          <w:p w:rsidR="003E19C4" w:rsidRPr="003E19C4" w:rsidRDefault="00DD7869" w:rsidP="00DD7869">
            <w:r>
              <w:t>Canada</w:t>
            </w:r>
          </w:p>
        </w:tc>
        <w:tc>
          <w:tcPr>
            <w:tcW w:w="0" w:type="auto"/>
            <w:shd w:val="clear" w:color="auto" w:fill="FFFFFF"/>
            <w:vAlign w:val="center"/>
            <w:hideMark/>
          </w:tcPr>
          <w:p w:rsidR="003E19C4" w:rsidRPr="003E19C4" w:rsidRDefault="006738E7" w:rsidP="003E19C4">
            <w:r>
              <w:t>169,200</w:t>
            </w:r>
          </w:p>
        </w:tc>
      </w:tr>
      <w:tr w:rsidR="003E19C4" w:rsidRPr="003E19C4" w:rsidTr="00751A1F">
        <w:trPr>
          <w:tblCellSpacing w:w="15" w:type="dxa"/>
        </w:trPr>
        <w:tc>
          <w:tcPr>
            <w:tcW w:w="5040" w:type="dxa"/>
            <w:shd w:val="clear" w:color="auto" w:fill="FFFFFF"/>
            <w:vAlign w:val="center"/>
            <w:hideMark/>
          </w:tcPr>
          <w:p w:rsidR="003E19C4" w:rsidRPr="003E19C4" w:rsidRDefault="00DD7869" w:rsidP="003E19C4">
            <w:r>
              <w:t>Shiojiri City</w:t>
            </w:r>
          </w:p>
        </w:tc>
        <w:tc>
          <w:tcPr>
            <w:tcW w:w="2211" w:type="dxa"/>
            <w:shd w:val="clear" w:color="auto" w:fill="FFFFFF"/>
            <w:vAlign w:val="center"/>
            <w:hideMark/>
          </w:tcPr>
          <w:p w:rsidR="003E19C4" w:rsidRPr="003E19C4" w:rsidRDefault="00DD7869" w:rsidP="003E19C4">
            <w:r>
              <w:t>Japan</w:t>
            </w:r>
          </w:p>
        </w:tc>
        <w:tc>
          <w:tcPr>
            <w:tcW w:w="0" w:type="auto"/>
            <w:shd w:val="clear" w:color="auto" w:fill="FFFFFF"/>
            <w:vAlign w:val="center"/>
            <w:hideMark/>
          </w:tcPr>
          <w:p w:rsidR="003E19C4" w:rsidRPr="003E19C4" w:rsidRDefault="006738E7" w:rsidP="003E19C4">
            <w:r>
              <w:t>67,824</w:t>
            </w:r>
          </w:p>
        </w:tc>
      </w:tr>
      <w:tr w:rsidR="00DD7869" w:rsidRPr="003E19C4" w:rsidTr="00751A1F">
        <w:trPr>
          <w:tblCellSpacing w:w="15" w:type="dxa"/>
        </w:trPr>
        <w:tc>
          <w:tcPr>
            <w:tcW w:w="5040" w:type="dxa"/>
            <w:shd w:val="clear" w:color="auto" w:fill="FFFFFF"/>
            <w:vAlign w:val="center"/>
            <w:hideMark/>
          </w:tcPr>
          <w:p w:rsidR="00DD7869" w:rsidRPr="003E19C4" w:rsidRDefault="00DD7869" w:rsidP="00DD7869">
            <w:r w:rsidRPr="003E19C4">
              <w:t>Sunshine Coast, Queensland</w:t>
            </w:r>
          </w:p>
        </w:tc>
        <w:tc>
          <w:tcPr>
            <w:tcW w:w="2211" w:type="dxa"/>
            <w:shd w:val="clear" w:color="auto" w:fill="FFFFFF"/>
            <w:vAlign w:val="center"/>
            <w:hideMark/>
          </w:tcPr>
          <w:p w:rsidR="00DD7869" w:rsidRPr="003E19C4" w:rsidRDefault="00DD7869" w:rsidP="00DD7869">
            <w:r w:rsidRPr="003E19C4">
              <w:t>Australia</w:t>
            </w:r>
          </w:p>
        </w:tc>
        <w:tc>
          <w:tcPr>
            <w:tcW w:w="0" w:type="auto"/>
            <w:shd w:val="clear" w:color="auto" w:fill="FFFFFF"/>
            <w:vAlign w:val="center"/>
            <w:hideMark/>
          </w:tcPr>
          <w:p w:rsidR="00DD7869" w:rsidRPr="003E19C4" w:rsidRDefault="006738E7" w:rsidP="00DD7869">
            <w:r>
              <w:t>278,202</w:t>
            </w:r>
          </w:p>
        </w:tc>
      </w:tr>
      <w:tr w:rsidR="003E19C4" w:rsidRPr="003E19C4" w:rsidTr="00751A1F">
        <w:trPr>
          <w:tblCellSpacing w:w="15" w:type="dxa"/>
        </w:trPr>
        <w:tc>
          <w:tcPr>
            <w:tcW w:w="5040" w:type="dxa"/>
            <w:shd w:val="clear" w:color="auto" w:fill="FFFFFF"/>
            <w:vAlign w:val="center"/>
            <w:hideMark/>
          </w:tcPr>
          <w:p w:rsidR="003E19C4" w:rsidRPr="003E19C4" w:rsidRDefault="00DD7869" w:rsidP="003E19C4">
            <w:r>
              <w:t>Surrey, British Columbia</w:t>
            </w:r>
          </w:p>
        </w:tc>
        <w:tc>
          <w:tcPr>
            <w:tcW w:w="2211" w:type="dxa"/>
            <w:shd w:val="clear" w:color="auto" w:fill="FFFFFF"/>
            <w:vAlign w:val="center"/>
            <w:hideMark/>
          </w:tcPr>
          <w:p w:rsidR="003E19C4" w:rsidRPr="003E19C4" w:rsidRDefault="003E19C4" w:rsidP="003E19C4">
            <w:r w:rsidRPr="003E19C4">
              <w:t>Canada</w:t>
            </w:r>
          </w:p>
        </w:tc>
        <w:tc>
          <w:tcPr>
            <w:tcW w:w="0" w:type="auto"/>
            <w:shd w:val="clear" w:color="auto" w:fill="FFFFFF"/>
            <w:vAlign w:val="center"/>
            <w:hideMark/>
          </w:tcPr>
          <w:p w:rsidR="003E19C4" w:rsidRPr="003E19C4" w:rsidRDefault="006738E7" w:rsidP="003E19C4">
            <w:r>
              <w:t>502,000</w:t>
            </w:r>
          </w:p>
        </w:tc>
      </w:tr>
      <w:tr w:rsidR="003E19C4" w:rsidRPr="003E19C4" w:rsidTr="00751A1F">
        <w:trPr>
          <w:tblCellSpacing w:w="15" w:type="dxa"/>
        </w:trPr>
        <w:tc>
          <w:tcPr>
            <w:tcW w:w="5040" w:type="dxa"/>
            <w:shd w:val="clear" w:color="auto" w:fill="FFFFFF"/>
            <w:vAlign w:val="center"/>
            <w:hideMark/>
          </w:tcPr>
          <w:p w:rsidR="003E19C4" w:rsidRPr="003E19C4" w:rsidRDefault="00DD7869" w:rsidP="003E19C4">
            <w:r>
              <w:t>Taitung County</w:t>
            </w:r>
          </w:p>
        </w:tc>
        <w:tc>
          <w:tcPr>
            <w:tcW w:w="2211" w:type="dxa"/>
            <w:shd w:val="clear" w:color="auto" w:fill="FFFFFF"/>
            <w:vAlign w:val="center"/>
            <w:hideMark/>
          </w:tcPr>
          <w:p w:rsidR="003E19C4" w:rsidRPr="003E19C4" w:rsidRDefault="00DD7869" w:rsidP="003E19C4">
            <w:r>
              <w:t>Taiwan</w:t>
            </w:r>
          </w:p>
        </w:tc>
        <w:tc>
          <w:tcPr>
            <w:tcW w:w="0" w:type="auto"/>
            <w:shd w:val="clear" w:color="auto" w:fill="FFFFFF"/>
            <w:vAlign w:val="center"/>
            <w:hideMark/>
          </w:tcPr>
          <w:p w:rsidR="003E19C4" w:rsidRPr="003E19C4" w:rsidRDefault="006738E7" w:rsidP="003E19C4">
            <w:r>
              <w:t>226,252</w:t>
            </w:r>
          </w:p>
        </w:tc>
      </w:tr>
      <w:tr w:rsidR="003E19C4" w:rsidRPr="003E19C4" w:rsidTr="00751A1F">
        <w:trPr>
          <w:tblCellSpacing w:w="15" w:type="dxa"/>
        </w:trPr>
        <w:tc>
          <w:tcPr>
            <w:tcW w:w="5040" w:type="dxa"/>
            <w:shd w:val="clear" w:color="auto" w:fill="FFFFFF"/>
            <w:vAlign w:val="center"/>
            <w:hideMark/>
          </w:tcPr>
          <w:p w:rsidR="003E19C4" w:rsidRPr="003E19C4" w:rsidRDefault="00DD7869" w:rsidP="003E19C4">
            <w:r>
              <w:t>Taoyuan County</w:t>
            </w:r>
          </w:p>
        </w:tc>
        <w:tc>
          <w:tcPr>
            <w:tcW w:w="2211" w:type="dxa"/>
            <w:shd w:val="clear" w:color="auto" w:fill="FFFFFF"/>
            <w:vAlign w:val="center"/>
            <w:hideMark/>
          </w:tcPr>
          <w:p w:rsidR="003E19C4" w:rsidRPr="003E19C4" w:rsidRDefault="00DD7869" w:rsidP="003E19C4">
            <w:r>
              <w:t>Taiwan</w:t>
            </w:r>
          </w:p>
        </w:tc>
        <w:tc>
          <w:tcPr>
            <w:tcW w:w="0" w:type="auto"/>
            <w:shd w:val="clear" w:color="auto" w:fill="FFFFFF"/>
            <w:vAlign w:val="center"/>
            <w:hideMark/>
          </w:tcPr>
          <w:p w:rsidR="003E19C4" w:rsidRPr="003E19C4" w:rsidRDefault="006738E7" w:rsidP="003E19C4">
            <w:r>
              <w:t>2,050,600</w:t>
            </w:r>
          </w:p>
        </w:tc>
      </w:tr>
      <w:tr w:rsidR="003E19C4" w:rsidRPr="003E19C4" w:rsidTr="00751A1F">
        <w:trPr>
          <w:tblCellSpacing w:w="15" w:type="dxa"/>
        </w:trPr>
        <w:tc>
          <w:tcPr>
            <w:tcW w:w="5040" w:type="dxa"/>
            <w:shd w:val="clear" w:color="auto" w:fill="FFFFFF"/>
            <w:vAlign w:val="center"/>
            <w:hideMark/>
          </w:tcPr>
          <w:p w:rsidR="003E19C4" w:rsidRPr="003E19C4" w:rsidRDefault="00DD7869" w:rsidP="003E19C4">
            <w:r>
              <w:t>Whanganui</w:t>
            </w:r>
          </w:p>
        </w:tc>
        <w:tc>
          <w:tcPr>
            <w:tcW w:w="2211" w:type="dxa"/>
            <w:shd w:val="clear" w:color="auto" w:fill="FFFFFF"/>
            <w:vAlign w:val="center"/>
            <w:hideMark/>
          </w:tcPr>
          <w:p w:rsidR="003E19C4" w:rsidRPr="003E19C4" w:rsidRDefault="00DD7869" w:rsidP="003E19C4">
            <w:r>
              <w:t>New Zealand</w:t>
            </w:r>
          </w:p>
        </w:tc>
        <w:tc>
          <w:tcPr>
            <w:tcW w:w="0" w:type="auto"/>
            <w:shd w:val="clear" w:color="auto" w:fill="FFFFFF"/>
            <w:vAlign w:val="center"/>
            <w:hideMark/>
          </w:tcPr>
          <w:p w:rsidR="003E19C4" w:rsidRPr="003E19C4" w:rsidRDefault="006738E7" w:rsidP="003E19C4">
            <w:r>
              <w:t>43,100</w:t>
            </w:r>
          </w:p>
        </w:tc>
      </w:tr>
      <w:tr w:rsidR="003E19C4" w:rsidRPr="003E19C4" w:rsidTr="00751A1F">
        <w:trPr>
          <w:tblCellSpacing w:w="15" w:type="dxa"/>
        </w:trPr>
        <w:tc>
          <w:tcPr>
            <w:tcW w:w="5040" w:type="dxa"/>
            <w:shd w:val="clear" w:color="auto" w:fill="FFFFFF"/>
            <w:vAlign w:val="center"/>
            <w:hideMark/>
          </w:tcPr>
          <w:p w:rsidR="003E19C4" w:rsidRPr="003E19C4" w:rsidRDefault="00DD7869" w:rsidP="003E19C4">
            <w:proofErr w:type="spellStart"/>
            <w:r>
              <w:t>Whittlesea</w:t>
            </w:r>
            <w:proofErr w:type="spellEnd"/>
            <w:r w:rsidR="007A0F80">
              <w:t xml:space="preserve">, Victoria </w:t>
            </w:r>
          </w:p>
        </w:tc>
        <w:tc>
          <w:tcPr>
            <w:tcW w:w="2211" w:type="dxa"/>
            <w:shd w:val="clear" w:color="auto" w:fill="FFFFFF"/>
            <w:vAlign w:val="center"/>
            <w:hideMark/>
          </w:tcPr>
          <w:p w:rsidR="003E19C4" w:rsidRPr="003E19C4" w:rsidRDefault="00DD7869" w:rsidP="003E19C4">
            <w:r>
              <w:t>Australia</w:t>
            </w:r>
          </w:p>
        </w:tc>
        <w:tc>
          <w:tcPr>
            <w:tcW w:w="0" w:type="auto"/>
            <w:shd w:val="clear" w:color="auto" w:fill="FFFFFF"/>
            <w:vAlign w:val="center"/>
            <w:hideMark/>
          </w:tcPr>
          <w:p w:rsidR="003E19C4" w:rsidRPr="003E19C4" w:rsidRDefault="006738E7" w:rsidP="003E19C4">
            <w:r>
              <w:t>186,368</w:t>
            </w:r>
          </w:p>
        </w:tc>
      </w:tr>
    </w:tbl>
    <w:p w:rsidR="00DD7869" w:rsidRDefault="00DD7869" w:rsidP="003E19C4"/>
    <w:p w:rsidR="00E11F36" w:rsidRDefault="003E19C4" w:rsidP="00DD7869">
      <w:r w:rsidRPr="003E19C4">
        <w:t xml:space="preserve">The announcement of the Smart21 list was made at the kickoff dinner for the </w:t>
      </w:r>
      <w:r w:rsidR="00DD7869">
        <w:t>3</w:t>
      </w:r>
      <w:r w:rsidR="00DD7869" w:rsidRPr="00DD7869">
        <w:rPr>
          <w:vertAlign w:val="superscript"/>
        </w:rPr>
        <w:t>rd</w:t>
      </w:r>
      <w:r w:rsidR="00DD7869">
        <w:t xml:space="preserve"> </w:t>
      </w:r>
      <w:r w:rsidRPr="003E19C4">
        <w:t xml:space="preserve">annual Intelligent Community Symposium at Walsh University Institute for the Study of the Intelligent Community in North Canton, Ohio, USA. The Symposium attracts international experts in the fields of education, technology, and business to discuss successful strategies for building prosperous and sustainable communities. </w:t>
      </w:r>
      <w:r w:rsidR="0058315F">
        <w:t xml:space="preserve"> The event </w:t>
      </w:r>
      <w:r w:rsidR="00E11F36">
        <w:t>featured</w:t>
      </w:r>
      <w:r w:rsidR="0058315F">
        <w:t xml:space="preserve"> Google’s Education Evangelist Jaimie Casap and Tim Jones, </w:t>
      </w:r>
      <w:r w:rsidR="00E11F36">
        <w:t>Toronto’s legendary social entrepreneur and CEO of Artscape.  Jones coined the phrase “placemaking” and helped foster a global practice in the field.</w:t>
      </w:r>
    </w:p>
    <w:p w:rsidR="00E11F36" w:rsidRDefault="00E11F36" w:rsidP="00DD7869"/>
    <w:p w:rsidR="00DD7869" w:rsidRPr="00DD7869" w:rsidRDefault="00DD7869" w:rsidP="00DD7869">
      <w:r>
        <w:t xml:space="preserve">The Symposium also marked the launch of the Institute’s </w:t>
      </w:r>
      <w:hyperlink r:id="rId6" w:history="1">
        <w:r w:rsidRPr="00DD7869">
          <w:rPr>
            <w:rStyle w:val="Hyperlink"/>
          </w:rPr>
          <w:t>Leadership Academy</w:t>
        </w:r>
      </w:hyperlink>
      <w:r>
        <w:t xml:space="preserve">, a course </w:t>
      </w:r>
      <w:r w:rsidRPr="00DD7869">
        <w:t>designed to educate students, community leaders and ICF movement “champions” on the Intelligent Community Indicators</w:t>
      </w:r>
      <w:r w:rsidR="00E11F36">
        <w:t>.</w:t>
      </w:r>
      <w:r w:rsidRPr="00DD7869">
        <w:t xml:space="preserve"> </w:t>
      </w:r>
    </w:p>
    <w:p w:rsidR="00DD7869" w:rsidRPr="003E19C4" w:rsidRDefault="00DD7869" w:rsidP="003E19C4"/>
    <w:p w:rsidR="00DD7869" w:rsidRDefault="003E19C4" w:rsidP="003E19C4">
      <w:r w:rsidRPr="003E19C4">
        <w:t xml:space="preserve">Evaluation of </w:t>
      </w:r>
      <w:r w:rsidR="00DD7869">
        <w:t xml:space="preserve">Intelligent Community Forum Awards Program </w:t>
      </w:r>
      <w:r w:rsidRPr="003E19C4">
        <w:t>nominations is based on the five </w:t>
      </w:r>
      <w:r w:rsidR="003A2104">
        <w:fldChar w:fldCharType="begin"/>
      </w:r>
      <w:r w:rsidR="003A2104">
        <w:instrText xml:space="preserve"> HYPERLINK "http://www.intelligentcommunity.org/index.php?src=gendocs&amp;ref=Research_Intelligent_Community_Indicators&amp;category=Research&amp;link=Research_Intelligent_Community_Indicators" \t "_blank" </w:instrText>
      </w:r>
      <w:r w:rsidR="003A2104">
        <w:fldChar w:fldCharType="separate"/>
      </w:r>
      <w:r w:rsidRPr="003E19C4">
        <w:rPr>
          <w:rStyle w:val="Hyperlink"/>
        </w:rPr>
        <w:t>Intelligent Community Indicators</w:t>
      </w:r>
      <w:r w:rsidR="003A2104">
        <w:rPr>
          <w:rStyle w:val="Hyperlink"/>
        </w:rPr>
        <w:fldChar w:fldCharType="end"/>
      </w:r>
      <w:r w:rsidRPr="003E19C4">
        <w:t xml:space="preserve">, which provide the conceptual framework for understanding all of the factors that determine a community's </w:t>
      </w:r>
      <w:r w:rsidRPr="003E19C4">
        <w:lastRenderedPageBreak/>
        <w:t xml:space="preserve">competitiveness and point to its success in the broadband economy. In addition, the Awards are guided by this year’s theme, </w:t>
      </w:r>
      <w:r w:rsidR="00DD7869" w:rsidRPr="00BE7AAA">
        <w:rPr>
          <w:i/>
        </w:rPr>
        <w:t>The Revolutionary Community</w:t>
      </w:r>
      <w:r w:rsidRPr="003E19C4">
        <w:t xml:space="preserve">, </w:t>
      </w:r>
      <w:r w:rsidR="00E11F36">
        <w:t>which</w:t>
      </w:r>
      <w:r w:rsidR="00E11F36" w:rsidRPr="003E19C4">
        <w:t xml:space="preserve"> </w:t>
      </w:r>
      <w:r w:rsidR="00DD7869" w:rsidRPr="00DD7869">
        <w:t>focuses on the study of urban and regional planning and how it is impacting the way people live, work and cr</w:t>
      </w:r>
      <w:r w:rsidR="00DD7869">
        <w:t>eate in their cities and towns</w:t>
      </w:r>
      <w:r w:rsidRPr="003E19C4">
        <w:t>. </w:t>
      </w:r>
      <w:hyperlink r:id="rId7" w:history="1">
        <w:r w:rsidR="00DD7869" w:rsidRPr="00DD7869">
          <w:rPr>
            <w:rStyle w:val="Hyperlink"/>
          </w:rPr>
          <w:t>ICF released a white paper discussing the theme, which can be downloaded here.</w:t>
        </w:r>
      </w:hyperlink>
    </w:p>
    <w:p w:rsidR="00DD7869" w:rsidRPr="003E19C4" w:rsidRDefault="00DD7869" w:rsidP="003E19C4"/>
    <w:p w:rsidR="003E19C4" w:rsidRDefault="003E19C4" w:rsidP="003E19C4">
      <w:r w:rsidRPr="003E19C4">
        <w:t>The</w:t>
      </w:r>
      <w:r w:rsidR="00DD7869">
        <w:t xml:space="preserve"> Smart21 Communities of 2015</w:t>
      </w:r>
      <w:r w:rsidRPr="003E19C4">
        <w:t xml:space="preserve"> will next provide more detailed data</w:t>
      </w:r>
      <w:r w:rsidR="00DD7869">
        <w:t xml:space="preserve"> through an extensive questionnaire</w:t>
      </w:r>
      <w:r w:rsidRPr="003E19C4">
        <w:t xml:space="preserve">, which is evaluated by an independent research firm. The seven highest-scoring cities or regions will then be named the Top7 Intelligent Communities of the Year, on January </w:t>
      </w:r>
      <w:r w:rsidR="00E11F36">
        <w:t>22</w:t>
      </w:r>
      <w:r w:rsidR="00E11F36" w:rsidRPr="003E19C4">
        <w:t xml:space="preserve"> </w:t>
      </w:r>
      <w:r w:rsidRPr="003E19C4">
        <w:t xml:space="preserve">in Taichung City, Taiwan, the </w:t>
      </w:r>
      <w:r w:rsidR="00DD7869">
        <w:t xml:space="preserve">2013 </w:t>
      </w:r>
      <w:r w:rsidRPr="003E19C4">
        <w:t>Intelligent Commun</w:t>
      </w:r>
      <w:r w:rsidR="00DD7869">
        <w:t>ity of the Year. In June of 2015, at an event in Toronto, Ontario, Canada</w:t>
      </w:r>
      <w:r w:rsidR="00BE7AAA">
        <w:t>, the 201</w:t>
      </w:r>
      <w:r w:rsidR="004E63D7">
        <w:t>4</w:t>
      </w:r>
      <w:r w:rsidR="00BE7AAA">
        <w:t xml:space="preserve"> Intelligent Community of the Year</w:t>
      </w:r>
      <w:r w:rsidRPr="003E19C4">
        <w:t xml:space="preserve">, one community will be chosen to succeed </w:t>
      </w:r>
      <w:r w:rsidR="00DD7869">
        <w:t>Toronto as the 2015</w:t>
      </w:r>
      <w:r w:rsidRPr="003E19C4">
        <w:t xml:space="preserve"> Intelligent Community of the Year.</w:t>
      </w:r>
    </w:p>
    <w:p w:rsidR="00DD7869" w:rsidRPr="003E19C4" w:rsidRDefault="00DD7869" w:rsidP="003E19C4"/>
    <w:p w:rsidR="003E19C4" w:rsidRDefault="003E19C4" w:rsidP="003E19C4">
      <w:r w:rsidRPr="003E19C4">
        <w:rPr>
          <w:b/>
          <w:bCs/>
        </w:rPr>
        <w:t>About Intelligent Community Forum</w:t>
      </w:r>
    </w:p>
    <w:p w:rsidR="00E11F36" w:rsidRPr="00606738" w:rsidRDefault="00E11F36" w:rsidP="00E11F36">
      <w:pPr>
        <w:rPr>
          <w:rFonts w:cs="Arial"/>
          <w:iCs/>
        </w:rPr>
      </w:pPr>
      <w:r w:rsidRPr="00606738">
        <w:rPr>
          <w:rFonts w:cs="Arial"/>
          <w:lang w:eastAsia="ja-JP"/>
        </w:rPr>
        <w:t>The Intelligent Community Forum (</w:t>
      </w:r>
      <w:hyperlink r:id="rId8" w:history="1">
        <w:r w:rsidRPr="00606738">
          <w:rPr>
            <w:rStyle w:val="Hyperlink"/>
            <w:rFonts w:cs="Arial"/>
            <w:lang w:eastAsia="ja-JP"/>
          </w:rPr>
          <w:t>www.intelligentcommunity.org</w:t>
        </w:r>
      </w:hyperlink>
      <w:r w:rsidRPr="00606738">
        <w:rPr>
          <w:rFonts w:cs="Arial"/>
          <w:lang w:eastAsia="ja-JP"/>
        </w:rPr>
        <w:t>), headquartered in New York, is a global movement of 1</w:t>
      </w:r>
      <w:r w:rsidR="006B1765" w:rsidRPr="00606738">
        <w:rPr>
          <w:rFonts w:cs="Arial"/>
          <w:lang w:eastAsia="ja-JP"/>
        </w:rPr>
        <w:t>34</w:t>
      </w:r>
      <w:r w:rsidRPr="00606738">
        <w:rPr>
          <w:rFonts w:cs="Arial"/>
          <w:lang w:eastAsia="ja-JP"/>
        </w:rPr>
        <w:t xml:space="preserve"> cities, towns and regions. As an international think tank and Foundation, ICF studies and promotes the best practices of the world's Intelligent Communities as they adapt to the new demands and seize the opportunities presented by information and communications technology (ICT). To help cities and towns build prosperous economies, solve social problems and enrich local cultures, the Intelligent Community Forum conducts research, </w:t>
      </w:r>
      <w:proofErr w:type="gramStart"/>
      <w:r w:rsidRPr="00606738">
        <w:rPr>
          <w:rFonts w:cs="Arial"/>
          <w:lang w:eastAsia="ja-JP"/>
        </w:rPr>
        <w:t>hosts</w:t>
      </w:r>
      <w:proofErr w:type="gramEnd"/>
      <w:r w:rsidRPr="00606738">
        <w:rPr>
          <w:rFonts w:cs="Arial"/>
          <w:lang w:eastAsia="ja-JP"/>
        </w:rPr>
        <w:t xml:space="preserve"> global events, publishes books, and produces its high-profile annual international awards program. The Forum has two Institutes in North America dedicated to the study of the movement, with more institutes planned. Global leaders, thinkers, and media observers follow and participate in the ongoing global dialogue initiated by the Intelligent Community Forum. In 2012 ICF was invited to participate at the Nobel Peace Prize conference in Oslo and in 2014, its model and work was recognized by the U.S. Department of Commerce under the Workforce Innovation and Opportunity Act, which, according to the American government, was "aimed at creating a more flexible and responsive system of workforce development to meet the needs of employers looking to fill 21</w:t>
      </w:r>
      <w:r w:rsidRPr="00606738">
        <w:rPr>
          <w:rFonts w:cs="Arial"/>
          <w:vertAlign w:val="superscript"/>
          <w:lang w:eastAsia="ja-JP"/>
        </w:rPr>
        <w:t>st</w:t>
      </w:r>
      <w:r w:rsidRPr="00606738">
        <w:rPr>
          <w:rFonts w:cs="Arial"/>
          <w:lang w:eastAsia="ja-JP"/>
        </w:rPr>
        <w:t> century jobs.” The Forum’s Foundation has an association made up of over 125 designated Intelligent Communities worldwide, which is represented by mayors and key civic leaders. For more information, go to </w:t>
      </w:r>
      <w:hyperlink r:id="rId9" w:history="1">
        <w:r w:rsidRPr="00606738">
          <w:rPr>
            <w:rStyle w:val="Hyperlink"/>
            <w:rFonts w:cs="Arial"/>
            <w:lang w:eastAsia="ja-JP"/>
          </w:rPr>
          <w:t>www.icf-foundation.org</w:t>
        </w:r>
      </w:hyperlink>
      <w:r w:rsidRPr="00606738">
        <w:rPr>
          <w:rFonts w:cs="Arial"/>
          <w:lang w:eastAsia="ja-JP"/>
        </w:rPr>
        <w:t xml:space="preserve">. For more details on the Intelligent Community Forum’s recent publications and programs, visit </w:t>
      </w:r>
      <w:hyperlink r:id="rId10" w:history="1">
        <w:r w:rsidRPr="00606738">
          <w:rPr>
            <w:rStyle w:val="Hyperlink"/>
            <w:rFonts w:cs="Arial"/>
            <w:lang w:eastAsia="ja-JP"/>
          </w:rPr>
          <w:t>www.intelligentcommunity.org</w:t>
        </w:r>
      </w:hyperlink>
      <w:r w:rsidRPr="00606738">
        <w:rPr>
          <w:rFonts w:cs="Arial"/>
          <w:lang w:eastAsia="ja-JP"/>
        </w:rPr>
        <w:t>  </w:t>
      </w:r>
    </w:p>
    <w:p w:rsidR="00BE7AAA" w:rsidRPr="003E19C4" w:rsidRDefault="00BE7AAA" w:rsidP="003E19C4"/>
    <w:p w:rsidR="00B05D35" w:rsidRDefault="003E19C4" w:rsidP="003E19C4">
      <w:r w:rsidRPr="003E19C4">
        <w:rPr>
          <w:b/>
          <w:bCs/>
        </w:rPr>
        <w:t>Intelligent Community Forum Contacts</w:t>
      </w:r>
      <w:r w:rsidRPr="003E19C4">
        <w:br/>
      </w:r>
    </w:p>
    <w:p w:rsidR="00C5509D" w:rsidRDefault="003E19C4" w:rsidP="003E19C4">
      <w:r w:rsidRPr="003E19C4">
        <w:t>Paul Brent</w:t>
      </w:r>
      <w:r w:rsidRPr="003E19C4">
        <w:br/>
        <w:t>Senior Communications Specialist </w:t>
      </w:r>
      <w:r w:rsidRPr="003E19C4">
        <w:br/>
        <w:t>market2world communications inc. </w:t>
      </w:r>
      <w:r w:rsidRPr="003E19C4">
        <w:br/>
        <w:t>Phone: 001-613-256-3939</w:t>
      </w:r>
      <w:r w:rsidRPr="003E19C4">
        <w:br/>
        <w:t xml:space="preserve">Email: </w:t>
      </w:r>
      <w:hyperlink r:id="rId11" w:history="1">
        <w:r w:rsidR="00E11F36" w:rsidRPr="00073143">
          <w:rPr>
            <w:rStyle w:val="Hyperlink"/>
          </w:rPr>
          <w:t>paul@market2world.com</w:t>
        </w:r>
      </w:hyperlink>
    </w:p>
    <w:p w:rsidR="00E11F36" w:rsidRDefault="00E11F36" w:rsidP="003E19C4"/>
    <w:p w:rsidR="00E11F36" w:rsidRDefault="00E11F36" w:rsidP="00E11F36">
      <w:r w:rsidRPr="003E19C4">
        <w:lastRenderedPageBreak/>
        <w:t>Louis Zacharilla</w:t>
      </w:r>
      <w:r w:rsidRPr="003E19C4">
        <w:br/>
        <w:t>Co-Founder, Intelligent Community Forum</w:t>
      </w:r>
      <w:r w:rsidRPr="003E19C4">
        <w:br/>
        <w:t>Phone: (M) 001-917-715-0711 (O) 001-212-249-0624 </w:t>
      </w:r>
      <w:r w:rsidRPr="003E19C4">
        <w:br/>
        <w:t>Email: lzacharilla@intelligentcommunity.org</w:t>
      </w:r>
    </w:p>
    <w:p w:rsidR="00E11F36" w:rsidRPr="003E19C4" w:rsidRDefault="00E11F36" w:rsidP="003E19C4"/>
    <w:p w:rsidR="007234E4" w:rsidRDefault="007234E4"/>
    <w:sectPr w:rsidR="007234E4" w:rsidSect="00C646C6">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A3D77" w15:done="0"/>
  <w15:commentEx w15:paraId="5F4E2004" w15:done="0"/>
  <w15:commentEx w15:paraId="330709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Zacharilla">
    <w15:presenceInfo w15:providerId="Windows Live" w15:userId="350051e98ffbfd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C4"/>
    <w:rsid w:val="0022737D"/>
    <w:rsid w:val="002B0712"/>
    <w:rsid w:val="00365146"/>
    <w:rsid w:val="003A2104"/>
    <w:rsid w:val="003E19C4"/>
    <w:rsid w:val="004016D7"/>
    <w:rsid w:val="004E63D7"/>
    <w:rsid w:val="0058315F"/>
    <w:rsid w:val="005865CA"/>
    <w:rsid w:val="0059794A"/>
    <w:rsid w:val="00606738"/>
    <w:rsid w:val="00633543"/>
    <w:rsid w:val="006738E7"/>
    <w:rsid w:val="006B1765"/>
    <w:rsid w:val="007234E4"/>
    <w:rsid w:val="00751A1F"/>
    <w:rsid w:val="007A0F80"/>
    <w:rsid w:val="009567ED"/>
    <w:rsid w:val="009B4D69"/>
    <w:rsid w:val="009F47EB"/>
    <w:rsid w:val="00A84C70"/>
    <w:rsid w:val="00B05D35"/>
    <w:rsid w:val="00BA136C"/>
    <w:rsid w:val="00BE7AAA"/>
    <w:rsid w:val="00C5509D"/>
    <w:rsid w:val="00C646C6"/>
    <w:rsid w:val="00D43B90"/>
    <w:rsid w:val="00DD7869"/>
    <w:rsid w:val="00E11F36"/>
    <w:rsid w:val="00EA2E06"/>
    <w:rsid w:val="00F54875"/>
    <w:rsid w:val="00FB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9C4"/>
    <w:rPr>
      <w:color w:val="0000FF" w:themeColor="hyperlink"/>
      <w:u w:val="single"/>
    </w:rPr>
  </w:style>
  <w:style w:type="character" w:styleId="CommentReference">
    <w:name w:val="annotation reference"/>
    <w:basedOn w:val="DefaultParagraphFont"/>
    <w:uiPriority w:val="99"/>
    <w:semiHidden/>
    <w:unhideWhenUsed/>
    <w:rsid w:val="0058315F"/>
    <w:rPr>
      <w:sz w:val="16"/>
      <w:szCs w:val="16"/>
    </w:rPr>
  </w:style>
  <w:style w:type="paragraph" w:styleId="CommentText">
    <w:name w:val="annotation text"/>
    <w:basedOn w:val="Normal"/>
    <w:link w:val="CommentTextChar"/>
    <w:uiPriority w:val="99"/>
    <w:semiHidden/>
    <w:unhideWhenUsed/>
    <w:rsid w:val="0058315F"/>
    <w:rPr>
      <w:sz w:val="20"/>
      <w:szCs w:val="20"/>
    </w:rPr>
  </w:style>
  <w:style w:type="character" w:customStyle="1" w:styleId="CommentTextChar">
    <w:name w:val="Comment Text Char"/>
    <w:basedOn w:val="DefaultParagraphFont"/>
    <w:link w:val="CommentText"/>
    <w:uiPriority w:val="99"/>
    <w:semiHidden/>
    <w:rsid w:val="0058315F"/>
    <w:rPr>
      <w:sz w:val="20"/>
      <w:szCs w:val="20"/>
    </w:rPr>
  </w:style>
  <w:style w:type="paragraph" w:styleId="CommentSubject">
    <w:name w:val="annotation subject"/>
    <w:basedOn w:val="CommentText"/>
    <w:next w:val="CommentText"/>
    <w:link w:val="CommentSubjectChar"/>
    <w:uiPriority w:val="99"/>
    <w:semiHidden/>
    <w:unhideWhenUsed/>
    <w:rsid w:val="0058315F"/>
    <w:rPr>
      <w:b/>
      <w:bCs/>
    </w:rPr>
  </w:style>
  <w:style w:type="character" w:customStyle="1" w:styleId="CommentSubjectChar">
    <w:name w:val="Comment Subject Char"/>
    <w:basedOn w:val="CommentTextChar"/>
    <w:link w:val="CommentSubject"/>
    <w:uiPriority w:val="99"/>
    <w:semiHidden/>
    <w:rsid w:val="0058315F"/>
    <w:rPr>
      <w:b/>
      <w:bCs/>
      <w:sz w:val="20"/>
      <w:szCs w:val="20"/>
    </w:rPr>
  </w:style>
  <w:style w:type="paragraph" w:styleId="Revision">
    <w:name w:val="Revision"/>
    <w:hidden/>
    <w:uiPriority w:val="99"/>
    <w:semiHidden/>
    <w:rsid w:val="0058315F"/>
  </w:style>
  <w:style w:type="paragraph" w:styleId="BalloonText">
    <w:name w:val="Balloon Text"/>
    <w:basedOn w:val="Normal"/>
    <w:link w:val="BalloonTextChar"/>
    <w:uiPriority w:val="99"/>
    <w:semiHidden/>
    <w:unhideWhenUsed/>
    <w:rsid w:val="0058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5F"/>
    <w:rPr>
      <w:rFonts w:ascii="Segoe UI" w:hAnsi="Segoe UI" w:cs="Segoe UI"/>
      <w:sz w:val="18"/>
      <w:szCs w:val="18"/>
    </w:rPr>
  </w:style>
  <w:style w:type="character" w:styleId="FollowedHyperlink">
    <w:name w:val="FollowedHyperlink"/>
    <w:basedOn w:val="DefaultParagraphFont"/>
    <w:uiPriority w:val="99"/>
    <w:semiHidden/>
    <w:unhideWhenUsed/>
    <w:rsid w:val="005865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9C4"/>
    <w:rPr>
      <w:color w:val="0000FF" w:themeColor="hyperlink"/>
      <w:u w:val="single"/>
    </w:rPr>
  </w:style>
  <w:style w:type="character" w:styleId="CommentReference">
    <w:name w:val="annotation reference"/>
    <w:basedOn w:val="DefaultParagraphFont"/>
    <w:uiPriority w:val="99"/>
    <w:semiHidden/>
    <w:unhideWhenUsed/>
    <w:rsid w:val="0058315F"/>
    <w:rPr>
      <w:sz w:val="16"/>
      <w:szCs w:val="16"/>
    </w:rPr>
  </w:style>
  <w:style w:type="paragraph" w:styleId="CommentText">
    <w:name w:val="annotation text"/>
    <w:basedOn w:val="Normal"/>
    <w:link w:val="CommentTextChar"/>
    <w:uiPriority w:val="99"/>
    <w:semiHidden/>
    <w:unhideWhenUsed/>
    <w:rsid w:val="0058315F"/>
    <w:rPr>
      <w:sz w:val="20"/>
      <w:szCs w:val="20"/>
    </w:rPr>
  </w:style>
  <w:style w:type="character" w:customStyle="1" w:styleId="CommentTextChar">
    <w:name w:val="Comment Text Char"/>
    <w:basedOn w:val="DefaultParagraphFont"/>
    <w:link w:val="CommentText"/>
    <w:uiPriority w:val="99"/>
    <w:semiHidden/>
    <w:rsid w:val="0058315F"/>
    <w:rPr>
      <w:sz w:val="20"/>
      <w:szCs w:val="20"/>
    </w:rPr>
  </w:style>
  <w:style w:type="paragraph" w:styleId="CommentSubject">
    <w:name w:val="annotation subject"/>
    <w:basedOn w:val="CommentText"/>
    <w:next w:val="CommentText"/>
    <w:link w:val="CommentSubjectChar"/>
    <w:uiPriority w:val="99"/>
    <w:semiHidden/>
    <w:unhideWhenUsed/>
    <w:rsid w:val="0058315F"/>
    <w:rPr>
      <w:b/>
      <w:bCs/>
    </w:rPr>
  </w:style>
  <w:style w:type="character" w:customStyle="1" w:styleId="CommentSubjectChar">
    <w:name w:val="Comment Subject Char"/>
    <w:basedOn w:val="CommentTextChar"/>
    <w:link w:val="CommentSubject"/>
    <w:uiPriority w:val="99"/>
    <w:semiHidden/>
    <w:rsid w:val="0058315F"/>
    <w:rPr>
      <w:b/>
      <w:bCs/>
      <w:sz w:val="20"/>
      <w:szCs w:val="20"/>
    </w:rPr>
  </w:style>
  <w:style w:type="paragraph" w:styleId="Revision">
    <w:name w:val="Revision"/>
    <w:hidden/>
    <w:uiPriority w:val="99"/>
    <w:semiHidden/>
    <w:rsid w:val="0058315F"/>
  </w:style>
  <w:style w:type="paragraph" w:styleId="BalloonText">
    <w:name w:val="Balloon Text"/>
    <w:basedOn w:val="Normal"/>
    <w:link w:val="BalloonTextChar"/>
    <w:uiPriority w:val="99"/>
    <w:semiHidden/>
    <w:unhideWhenUsed/>
    <w:rsid w:val="0058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5F"/>
    <w:rPr>
      <w:rFonts w:ascii="Segoe UI" w:hAnsi="Segoe UI" w:cs="Segoe UI"/>
      <w:sz w:val="18"/>
      <w:szCs w:val="18"/>
    </w:rPr>
  </w:style>
  <w:style w:type="character" w:styleId="FollowedHyperlink">
    <w:name w:val="FollowedHyperlink"/>
    <w:basedOn w:val="DefaultParagraphFont"/>
    <w:uiPriority w:val="99"/>
    <w:semiHidden/>
    <w:unhideWhenUsed/>
    <w:rsid w:val="00586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8225">
      <w:bodyDiv w:val="1"/>
      <w:marLeft w:val="0"/>
      <w:marRight w:val="0"/>
      <w:marTop w:val="0"/>
      <w:marBottom w:val="0"/>
      <w:divBdr>
        <w:top w:val="none" w:sz="0" w:space="0" w:color="auto"/>
        <w:left w:val="none" w:sz="0" w:space="0" w:color="auto"/>
        <w:bottom w:val="none" w:sz="0" w:space="0" w:color="auto"/>
        <w:right w:val="none" w:sz="0" w:space="0" w:color="auto"/>
      </w:divBdr>
    </w:div>
    <w:div w:id="149352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ul@market2world.com"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alsh.edu/leadership-academy" TargetMode="External"/><Relationship Id="rId7" Type="http://schemas.openxmlformats.org/officeDocument/2006/relationships/hyperlink" Target="https://www.intelligentcommunity.org/clientuploads/PDFs/ICF-WP-Revolutionary-Community.pdf" TargetMode="External"/><Relationship Id="rId8" Type="http://schemas.openxmlformats.org/officeDocument/2006/relationships/hyperlink" Target="http://www.intelligentcommunity.org" TargetMode="External"/><Relationship Id="rId9" Type="http://schemas.openxmlformats.org/officeDocument/2006/relationships/hyperlink" Target="http://www.icf-foundation.org" TargetMode="External"/><Relationship Id="rId10" Type="http://schemas.openxmlformats.org/officeDocument/2006/relationships/hyperlink" Target="http://www.intelligent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Owen</dc:creator>
  <cp:keywords/>
  <dc:description/>
  <cp:lastModifiedBy>Paul Brent</cp:lastModifiedBy>
  <cp:revision>2</cp:revision>
  <dcterms:created xsi:type="dcterms:W3CDTF">2014-10-21T20:18:00Z</dcterms:created>
  <dcterms:modified xsi:type="dcterms:W3CDTF">2014-10-21T20:18:00Z</dcterms:modified>
</cp:coreProperties>
</file>